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spacing w:after="0" w:line="240" w:lineRule="auto"/>
        <w:ind w:left="10008" w:firstLine="612"/>
        <w:jc w:val="right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color w:val="c00000"/>
          <w:sz w:val="44"/>
          <w:szCs w:val="44"/>
        </w:rPr>
      </w:pPr>
      <w:r>
        <w:rPr>
          <w:rFonts w:ascii="Times New Roman" w:cs="Times New Roman" w:hAnsi="Times New Roman"/>
          <w:b/>
          <w:color w:val="c00000"/>
          <w:sz w:val="44"/>
          <w:szCs w:val="44"/>
        </w:rPr>
        <w:t>График</w:t>
      </w:r>
      <w:r>
        <w:rPr>
          <w:rFonts w:ascii="Times New Roman" w:cs="Times New Roman" w:hAnsi="Times New Roman"/>
          <w:b/>
          <w:color w:val="c00000"/>
          <w:sz w:val="44"/>
          <w:szCs w:val="44"/>
        </w:rPr>
        <w:t xml:space="preserve"> проведения ВПР ОСЕНЬ 2022</w:t>
      </w:r>
      <w:r>
        <w:rPr>
          <w:rFonts w:ascii="Times New Roman" w:cs="Times New Roman" w:hAnsi="Times New Roman"/>
          <w:b/>
          <w:color w:val="c00000"/>
          <w:sz w:val="44"/>
          <w:szCs w:val="44"/>
        </w:rPr>
        <w:t xml:space="preserve"> в МБОУ СОШ №21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0"/>
          <w:szCs w:val="20"/>
        </w:rPr>
      </w:pPr>
    </w:p>
    <w:tbl>
      <w:tblPr>
        <w:tblStyle w:val="TableGrid"/>
        <w:tblW w:w="15603" w:type="dxa"/>
        <w:tblInd w:w="-176" w:type="dxa"/>
        <w:tblLayout w:type="fixed"/>
        <w:tblLook w:val="04A0"/>
      </w:tblPr>
      <w:tblGrid>
        <w:gridCol w:w="3247"/>
        <w:gridCol w:w="2659"/>
        <w:gridCol w:w="3067"/>
        <w:gridCol w:w="3262"/>
        <w:gridCol w:w="3368"/>
      </w:tblGrid>
      <w:tr>
        <w:trPr>
          <w:cnfStyle w:val="100000000000"/>
          <w:trHeight w:val="508" w:hRule="atLeast"/>
        </w:trPr>
        <w:tc>
          <w:tcPr>
            <w:cnfStyle w:val="101000000000"/>
            <w:tcW w:w="3247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32"/>
                <w:szCs w:val="32"/>
              </w:rPr>
              <w:t xml:space="preserve"> (4) 5 класс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cnfStyle w:val="100000000000"/>
            <w:tcW w:w="2659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32"/>
                <w:szCs w:val="32"/>
              </w:rPr>
              <w:t>(5) 6 класс</w:t>
            </w:r>
          </w:p>
        </w:tc>
        <w:tc>
          <w:tcPr>
            <w:cnfStyle w:val="100000000000"/>
            <w:tcW w:w="3067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32"/>
                <w:szCs w:val="32"/>
              </w:rPr>
              <w:t>(6) 7 класс</w:t>
            </w:r>
          </w:p>
        </w:tc>
        <w:tc>
          <w:tcPr>
            <w:cnfStyle w:val="100000000000"/>
            <w:tcW w:w="3262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32"/>
                <w:szCs w:val="32"/>
              </w:rPr>
              <w:t>(7) 8 класс</w:t>
            </w:r>
          </w:p>
        </w:tc>
        <w:tc>
          <w:tcPr>
            <w:cnfStyle w:val="100000000000"/>
            <w:tcW w:w="3368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32"/>
                <w:szCs w:val="32"/>
              </w:rPr>
              <w:t>(8) 9 класс</w:t>
            </w:r>
          </w:p>
        </w:tc>
      </w:tr>
      <w:tr>
        <w:trPr>
          <w:cnfStyle w:val="000000100000"/>
        </w:trPr>
        <w:tc>
          <w:tcPr>
            <w:cnfStyle w:val="001000100000"/>
            <w:tcW w:w="3247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19 – 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23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СЕНТЯБРЯ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Русский язык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20.09</w:t>
            </w: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 xml:space="preserve"> и 21.09</w:t>
            </w:r>
          </w:p>
        </w:tc>
        <w:tc>
          <w:tcPr>
            <w:cnfStyle w:val="000000100000"/>
            <w:tcW w:w="2659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cnfStyle w:val="000000100000"/>
            <w:tcW w:w="3067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cnfStyle w:val="000000100000"/>
            <w:tcW w:w="3262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cnfStyle w:val="000000100000"/>
            <w:tcW w:w="3368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3247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19 – 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23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СЕНТЯБРЯ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Окружающий мир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23.09</w:t>
            </w:r>
          </w:p>
        </w:tc>
        <w:tc>
          <w:tcPr>
            <w:cnfStyle w:val="000000010000"/>
            <w:tcW w:w="2659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cnfStyle w:val="000000010000"/>
            <w:tcW w:w="3067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cnfStyle w:val="000000010000"/>
            <w:tcW w:w="3262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cnfStyle w:val="000000010000"/>
            <w:tcW w:w="3368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3247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26 – 30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СЕНТЯБРЯ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Математика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28.09</w:t>
            </w: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cnfStyle w:val="000000100000"/>
            <w:tcW w:w="2659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  <w:t>-</w:t>
            </w:r>
          </w:p>
        </w:tc>
        <w:tc>
          <w:tcPr>
            <w:cnfStyle w:val="000000100000"/>
            <w:tcW w:w="3067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  <w:t>-</w:t>
            </w:r>
          </w:p>
        </w:tc>
        <w:tc>
          <w:tcPr>
            <w:cnfStyle w:val="000000100000"/>
            <w:tcW w:w="3262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  <w:t>-</w:t>
            </w:r>
          </w:p>
        </w:tc>
        <w:tc>
          <w:tcPr>
            <w:cnfStyle w:val="000000100000"/>
            <w:tcW w:w="3368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  <w:t>-</w:t>
            </w:r>
          </w:p>
        </w:tc>
      </w:tr>
      <w:tr>
        <w:trPr>
          <w:cnfStyle w:val="000000010000"/>
          <w:trHeight w:val="2484" w:hRule="atLeast"/>
        </w:trPr>
        <w:tc>
          <w:tcPr>
            <w:cnfStyle w:val="001000010000"/>
            <w:tcW w:w="3247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color w:val="7030a0"/>
                <w:sz w:val="24"/>
                <w:szCs w:val="24"/>
                <w:highlight w:val="none"/>
              </w:rPr>
            </w:pPr>
          </w:p>
        </w:tc>
        <w:tc>
          <w:tcPr>
            <w:cnfStyle w:val="000000010000"/>
            <w:tcW w:w="2659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  <w:t>-</w:t>
            </w:r>
          </w:p>
        </w:tc>
        <w:tc>
          <w:tcPr>
            <w:cnfStyle w:val="000000010000"/>
            <w:tcW w:w="3067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10 – 24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1-й предмет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по выбору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  <w:u w:val="single"/>
              </w:rPr>
              <w:t>Федерального уровня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традиционная форма</w:t>
            </w:r>
          </w:p>
          <w:p>
            <w:pP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10.10</w:t>
            </w:r>
          </w:p>
        </w:tc>
        <w:tc>
          <w:tcPr>
            <w:cnfStyle w:val="000000010000"/>
            <w:tcW w:w="3262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10 – 24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1-й предмет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по выбору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  <w:u w:val="single"/>
              </w:rPr>
              <w:t>Федерального уровня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традиционная форма</w:t>
            </w:r>
          </w:p>
          <w:p>
            <w:pP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17.10</w:t>
            </w:r>
          </w:p>
        </w:tc>
        <w:tc>
          <w:tcPr>
            <w:cnfStyle w:val="000000010000"/>
            <w:tcW w:w="3368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10 – 24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1-й предмет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по выбору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  <w:u w:val="single"/>
              </w:rPr>
              <w:t>Федерального уровня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u w:val="single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традиционная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форма</w:t>
            </w:r>
          </w:p>
          <w:p>
            <w:pP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12.10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</w:tc>
      </w:tr>
      <w:tr>
        <w:trPr>
          <w:cnfStyle w:val="000000100000"/>
          <w:trHeight w:val="1037" w:hRule="atLeast"/>
        </w:trPr>
        <w:tc>
          <w:tcPr>
            <w:cnfStyle w:val="001000100000"/>
            <w:tcW w:w="324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highlight w:val="none"/>
              </w:rPr>
              <w:t>-</w:t>
            </w:r>
          </w:p>
        </w:tc>
        <w:tc>
          <w:tcPr>
            <w:cnfStyle w:val="000000100000"/>
            <w:tcW w:w="2659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19 – 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23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СЕНТЯБРЯ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Русский язык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21.09</w:t>
            </w:r>
          </w:p>
        </w:tc>
        <w:tc>
          <w:tcPr>
            <w:cnfStyle w:val="000000100000"/>
            <w:tcW w:w="3067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03 – 07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Русский язык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03.10</w:t>
            </w:r>
          </w:p>
        </w:tc>
        <w:tc>
          <w:tcPr>
            <w:cnfStyle w:val="000000100000"/>
            <w:tcW w:w="3262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03 – 07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Русский язык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06.10</w:t>
            </w:r>
          </w:p>
        </w:tc>
        <w:tc>
          <w:tcPr>
            <w:cnfStyle w:val="000000100000"/>
            <w:tcW w:w="3368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19 – 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23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СЕНТЯБРЯ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Русский язык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22.09</w:t>
            </w:r>
          </w:p>
        </w:tc>
      </w:tr>
      <w:tr>
        <w:trPr>
          <w:cnfStyle w:val="000000010000"/>
        </w:trPr>
        <w:tc>
          <w:tcPr>
            <w:cnfStyle w:val="001000010000"/>
            <w:tcW w:w="324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highlight w:val="none"/>
              </w:rPr>
              <w:t>-</w:t>
            </w:r>
          </w:p>
        </w:tc>
        <w:tc>
          <w:tcPr>
            <w:cnfStyle w:val="000000010000"/>
            <w:tcW w:w="2659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10 – 24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История 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традиционная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форма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03.10</w:t>
            </w:r>
          </w:p>
        </w:tc>
        <w:tc>
          <w:tcPr>
            <w:cnfStyle w:val="000000010000"/>
            <w:tcW w:w="3067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10 – 24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2-й предмет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по выбору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  <w:u w:val="single"/>
              </w:rPr>
              <w:t>Федерального уровня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традиционная форма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18.10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cnfStyle w:val="000000010000"/>
            <w:tcW w:w="3262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10 – 24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2-й предмет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по выбору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  <w:u w:val="single"/>
              </w:rPr>
              <w:t>Федерального уровня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традиционная форма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19.10</w:t>
            </w:r>
          </w:p>
        </w:tc>
        <w:tc>
          <w:tcPr>
            <w:cnfStyle w:val="000000010000"/>
            <w:tcW w:w="3368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10 – 24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2-й предмет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по выбору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  <w:u w:val="single"/>
              </w:rPr>
              <w:t>Федерального уровня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u w:val="single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традиционная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форма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20.10</w:t>
            </w:r>
          </w:p>
        </w:tc>
      </w:tr>
      <w:tr>
        <w:trPr>
          <w:cnfStyle w:val="000000100000"/>
          <w:trHeight w:val="3396" w:hRule="atLeast"/>
        </w:trPr>
        <w:tc>
          <w:tcPr>
            <w:cnfStyle w:val="001000100000"/>
            <w:tcW w:w="324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highlight w:val="none"/>
              </w:rPr>
              <w:t>-</w:t>
            </w:r>
          </w:p>
        </w:tc>
        <w:tc>
          <w:tcPr>
            <w:cnfStyle w:val="000000100000"/>
            <w:tcW w:w="2659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03 – 14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i/>
                <w:color w:val="7030a0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Биология (компьютерная форма)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12.10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– 6А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13.10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– 6Б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 xml:space="preserve">13.10 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– 6В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14.10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– 6Г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14.10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– 6Д</w:t>
            </w:r>
          </w:p>
        </w:tc>
        <w:tc>
          <w:tcPr>
            <w:cnfStyle w:val="000000100000"/>
            <w:tcW w:w="3067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  <w:t>-</w:t>
            </w:r>
          </w:p>
        </w:tc>
        <w:tc>
          <w:tcPr>
            <w:cnfStyle w:val="000000100000"/>
            <w:tcW w:w="3262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03 – 14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Английский язык (компьютерная форма)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07.10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– 8А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10.10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– 8Б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 xml:space="preserve">11.10 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– 8В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12.10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– 8Г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13.10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 xml:space="preserve"> – 8Д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cnfStyle w:val="000000100000"/>
            <w:tcW w:w="3368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  <w:t>-</w:t>
            </w:r>
          </w:p>
        </w:tc>
      </w:tr>
      <w:tr>
        <w:trPr>
          <w:cnfStyle w:val="000000010000"/>
        </w:trPr>
        <w:tc>
          <w:tcPr>
            <w:cnfStyle w:val="001000010000"/>
            <w:tcW w:w="324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highlight w:val="none"/>
              </w:rPr>
              <w:t>-</w:t>
            </w:r>
          </w:p>
        </w:tc>
        <w:tc>
          <w:tcPr>
            <w:cnfStyle w:val="000000010000"/>
            <w:tcW w:w="2659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26 – 30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СЕНТЯБРЯ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Математика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28.09</w:t>
            </w:r>
          </w:p>
        </w:tc>
        <w:tc>
          <w:tcPr>
            <w:cnfStyle w:val="000000010000"/>
            <w:tcW w:w="3067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10 – 24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Математика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13.10</w:t>
            </w:r>
          </w:p>
        </w:tc>
        <w:tc>
          <w:tcPr>
            <w:cnfStyle w:val="000000010000"/>
            <w:tcW w:w="3262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10 – 24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Математика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18.10</w:t>
            </w:r>
          </w:p>
        </w:tc>
        <w:tc>
          <w:tcPr>
            <w:cnfStyle w:val="000000010000"/>
            <w:tcW w:w="3368" w:type="dxa"/>
          </w:tcPr>
          <w:p>
            <w:pPr>
              <w:jc w:val="center"/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10 – 24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  <w:highlight w:val="none"/>
              </w:rPr>
              <w:t>Математика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c00000"/>
                <w:sz w:val="24"/>
                <w:szCs w:val="24"/>
                <w:highlight w:val="none"/>
              </w:rPr>
              <w:t>17.10</w:t>
            </w:r>
          </w:p>
        </w:tc>
      </w:tr>
    </w:tbl>
    <w:p>
      <w:pPr>
        <w:rPr>
          <w:rFonts w:ascii="Times New Roman" w:cs="Times New Roman" w:hAnsi="Times New Roman"/>
        </w:rPr>
      </w:pPr>
    </w:p>
    <w:sectPr>
      <w:pgSz w:w="16838" w:h="11906" w:orient="landscape"/>
      <w:pgMar w:top="349" w:right="1134" w:bottom="89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29" w:usb3="00000000" w:csb0="000001d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798"/>
    <w:rsid w:val="00022CD2"/>
    <w:rsid w:val="00176129"/>
    <w:rsid w:val="00181EF8"/>
    <w:rsid w:val="001C0650"/>
    <w:rsid w:val="00232DD9"/>
    <w:rsid w:val="00236875"/>
    <w:rsid w:val="00251798"/>
    <w:rsid w:val="002C76E9"/>
    <w:rsid w:val="003C2A08"/>
    <w:rsid w:val="00491AB5"/>
    <w:rsid w:val="005019DC"/>
    <w:rsid w:val="00573AFA"/>
    <w:rsid w:val="005A699D"/>
    <w:rsid w:val="005D7534"/>
    <w:rsid w:val="005E2D86"/>
    <w:rsid w:val="005E6E58"/>
    <w:rsid w:val="005F390B"/>
    <w:rsid w:val="006A11D3"/>
    <w:rsid w:val="006C3634"/>
    <w:rsid w:val="00720861"/>
    <w:rsid w:val="00731E60"/>
    <w:rsid w:val="00773AB7"/>
    <w:rsid w:val="007F3218"/>
    <w:rsid w:val="0080475F"/>
    <w:rsid w:val="0081074E"/>
    <w:rsid w:val="00814DA6"/>
    <w:rsid w:val="0089271D"/>
    <w:rsid w:val="00936868"/>
    <w:rsid w:val="009F7863"/>
    <w:rsid w:val="00A01EC8"/>
    <w:rsid w:val="00AB459F"/>
    <w:rsid w:val="00B92131"/>
    <w:rsid w:val="00BA5A15"/>
    <w:rsid w:val="00BE4BE4"/>
    <w:rsid w:val="00CF25E8"/>
    <w:rsid w:val="00D96129"/>
    <w:rsid w:val="00D9761E"/>
    <w:rsid w:val="00DC1FAD"/>
    <w:rsid w:val="00DE0886"/>
    <w:rsid w:val="00E323D0"/>
    <w:rsid w:val="00E40F57"/>
    <w:rsid w:val="00EA7D5D"/>
    <w:rsid w:val="00EC23DB"/>
    <w:rsid w:val="00EC535D"/>
    <w:rsid w:val="00EC601B"/>
    <w:rsid w:val="00EE3A2B"/>
    <w:rsid w:val="00EF2AF3"/>
    <w:rsid w:val="00FB3CFB"/>
    <w:rsid w:val="00F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Чужикова</dc:creator>
  <cp:lastModifiedBy>Виталий</cp:lastModifiedBy>
</cp:coreProperties>
</file>